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30.pdf" ContentType="application/pdf"/>
  <Override PartName="/word/media/rId29.pdf" ContentType="application/pdf"/>
  <Override PartName="/word/media/rId31.pdf" ContentType="application/pdf"/>
  <Override PartName="/word/media/rId32.pdf" ContentType="application/pdf"/>
  <Override PartName="/word/media/rId33.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November</w:t>
      </w:r>
      <w:r>
        <w:t xml:space="preserve"> </w:t>
      </w:r>
      <w:r>
        <w:t xml:space="preserve">06,</w:t>
      </w:r>
      <w:r>
        <w:t xml:space="preserve"> </w:t>
      </w:r>
      <w:r>
        <w:t xml:space="preserve">2018</w:t>
      </w:r>
    </w:p>
    <w:p>
      <w:pPr>
        <w:pStyle w:val="Compact"/>
        <w:pStyle w:val="Abstract"/>
      </w:pPr>
      <w:r>
        <w:t xml:space="preserve">Abstract</w:t>
      </w:r>
      <w:r>
        <w:t xml:space="preserve"> </w:t>
      </w:r>
      <w:r>
        <w:t xml:space="preserve">to</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w:t>
      </w:r>
      <w:r>
        <w:t xml:space="preserve"> </w:t>
      </w:r>
      <w:r>
        <w:t xml:space="preserve">Craigie (2011)</w:t>
      </w:r>
      <w:r>
        <w:t xml:space="preserve">. Stella Maris® is derived from fresh</w:t>
      </w:r>
      <w:r>
        <w:t xml:space="preserve"> </w:t>
      </w:r>
      <w:r>
        <w:rPr>
          <w:i/>
        </w:rPr>
        <w:t xml:space="preserve">Ascophyllum nodosum</w:t>
      </w:r>
      <w:r>
        <w:t xml:space="preserve"> </w:t>
      </w:r>
      <w:r>
        <w:t xml:space="preserve">algae 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from an agricultural field under organic regime at the IRDA research station in St-Bruno (Qc, Canada) on October 7</w:t>
      </w:r>
      <w:r>
        <w:rPr>
          <w:vertAlign w:val="superscript"/>
        </w:rPr>
        <w:t xml:space="preserve">th</w:t>
      </w:r>
      <w:r>
        <w:t xml:space="preserve"> </w:t>
      </w:r>
      <w:r>
        <w:t xml:space="preserve">2015 (loamy sand soil, 15 cm top layer collected). Soil characteristics (pH, conductivity, nutrients, see Table 1) were measured by AgriDirect (Longueuil, Qc, Canada).</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a direct comparison of the fungal and bacteria soil communities with respect to the fertilization and planting treatment.</w:t>
      </w:r>
      <w:r>
        <w:t xml:space="preserve"> </w:t>
      </w:r>
      <w:r>
        <w:t xml:space="preserve"> </w:t>
      </w:r>
      <w:r>
        <w:br w:type="textWrapping"/>
      </w:r>
      <w:r>
        <w:drawing>
          <wp:inline>
            <wp:extent cx="5334000" cy="1670726"/>
            <wp:effectExtent b="0" l="0" r="0" t="0"/>
            <wp:docPr descr="Figure 1" title=""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5334000" cy="1670726"/>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Half of the 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The other half were unfertilized.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Half of the pepper plants were treated using solely Stella Maris (3.5 ml per 1L, each tray received 250 ml, repeated every 2 weeks) for the duration of the experiment. The other half were untreated.</w:t>
      </w:r>
      <w:r>
        <w:t xml:space="preserve"> </w:t>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 to control the fungus.</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specifically,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w:t>
      </w:r>
      <w:r>
        <w:t xml:space="preserve"> </w:t>
      </w:r>
      <w:r>
        <w:t xml:space="preserve">Toju et al. (2012)</w:t>
      </w:r>
      <w:r>
        <w:t xml:space="preserve">.</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This primer pair has been used extensively in high-throughput sequencing studies in a range of environments and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3.5.1</w:t>
      </w:r>
      <w:r>
        <w:t xml:space="preserve"> </w:t>
      </w:r>
      <w:r>
        <w:t xml:space="preserve">Team &amp; others (2018)</w:t>
      </w:r>
      <w:r>
        <w:t xml:space="preserve"> </w:t>
      </w:r>
      <w:r>
        <w:t xml:space="preserve">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Instead, after sequences are quality trimmed and error-corrected,</w:t>
      </w:r>
      <w:r>
        <w:t xml:space="preserve"> </w:t>
      </w:r>
      <w:r>
        <w:rPr>
          <w:rStyle w:val="VerbatimChar"/>
        </w:rPr>
        <w:t xml:space="preserve">dada2</w:t>
      </w:r>
      <w:r>
        <w:t xml:space="preserve"> </w:t>
      </w:r>
      <w:r>
        <w:t xml:space="preserve">reveals the unique members of the sequenced community,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(removing primers and low quality nucleotides,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nucleotide compositions of the sequenced amplicons, unique taxa and specific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 (</w:t>
      </w:r>
      <w:r>
        <w:t xml:space="preserve">Anderson &amp; Legendre (1999)</w:t>
      </w:r>
      <w:r>
        <w:t xml:space="preserve">) given that the residuals of the LMM were not normally distributed (results were similarly significant).</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unique to a block or replicate, but not found in the majority of a treatment and keep only</w:t>
      </w:r>
      <w:r>
        <w:t xml:space="preserve"> </w:t>
      </w:r>
      <w:r>
        <w:rPr>
          <w:i/>
        </w:rPr>
        <w:t xml:space="preserve">abundant</w:t>
      </w:r>
      <w:r>
        <w:t xml:space="preserve"> </w:t>
      </w:r>
      <w:r>
        <w:t xml:space="preserve">ones.</w:t>
      </w:r>
      <w:r>
        <w:br w:type="textWrapping"/>
      </w:r>
      <w:r>
        <w:t xml:space="preserve"> </w:t>
      </w:r>
      <w:r>
        <w:br w:type="textWrapping"/>
      </w:r>
      <w:r>
        <w:t xml:space="preserve">We then conducted community-based analyses looking at the effect of the fertilization treatment on the abundant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canonical correspondence analyses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the grouping of samples, ASVs and their association with productivity variables (</w:t>
      </w:r>
      <w:r>
        <w:rPr>
          <w:i/>
        </w:rPr>
        <w:t xml:space="preserve">species</w:t>
      </w:r>
      <w:r>
        <w:t xml:space="preserve"> </w:t>
      </w:r>
      <w:r>
        <w:t xml:space="preserve">scaling based on ASV matrix). Data were analysed separately for fungal-root, fungal-soil, bacterial-root and bacterial-soil, but also according to species (tomato/pepper), given that analyses of</w:t>
      </w:r>
      <w:r>
        <w:t xml:space="preserve"> </w:t>
      </w:r>
      <m:oMath>
        <m:r>
          <m:t>a</m:t>
        </m:r>
      </m:oMath>
      <w:r>
        <w:t xml:space="preserve"> </w:t>
      </w:r>
      <w:r>
        <w:t xml:space="preserve">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candidates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Soil characteristics</w:t>
      </w:r>
      <w:r>
        <w:br w:type="textWrapping"/>
      </w:r>
      <w:r>
        <w:t xml:space="preserve">In Table 1, we present the characteristics of the soil which was collected at the IRDA research station in St-Bruno (Qc, Canada) and used in the current experimental design.</w:t>
      </w:r>
      <w:r>
        <w:br w:type="textWrapping"/>
      </w:r>
      <w:r>
        <w:t xml:space="preserve"> </w:t>
      </w:r>
    </w:p>
    <w:p>
      <w:pPr>
        <w:pStyle w:val="TableCaption"/>
      </w:pPr>
      <w:r>
        <w:t xml:space="preserve">Soil characteristics</w:t>
      </w:r>
    </w:p>
    <w:tbl>
      <w:tblPr>
        <w:tblStyle w:val="TableNormal"/>
        <w:tblW w:type="pct" w:w="0.0"/>
        <w:tblLook w:firstRow="1"/>
        <w:tblCaption w:val="Soil characteristics"/>
      </w:tblPr>
      <w:tblGrid/>
      <w:tr>
        <w:trPr>
          <w:cnfStyle w:firstRow="1"/>
        </w:trPr>
        <w:tc>
          <w:tcPr>
            <w:tcBorders>
              <w:bottom w:val="single"/>
            </w:tcBorders>
            <w:vAlign w:val="bottom"/>
          </w:tcPr>
          <w:p>
            <w:pPr>
              <w:pStyle w:val="Compact"/>
              <w:jc w:val="left"/>
            </w:pPr>
            <w:r>
              <w:t xml:space="preserve">Soil Characteristics</w:t>
            </w:r>
          </w:p>
        </w:tc>
        <w:tc>
          <w:tcPr>
            <w:tcBorders>
              <w:bottom w:val="single"/>
            </w:tcBorders>
            <w:vAlign w:val="bottom"/>
          </w:tcPr>
          <w:p>
            <w:pPr>
              <w:pStyle w:val="Compact"/>
              <w:jc w:val="right"/>
            </w:pPr>
            <w:r>
              <w:t xml:space="preserve">Average value</w:t>
            </w:r>
          </w:p>
        </w:tc>
      </w:tr>
      <w:tr>
        <w:tc>
          <w:p>
            <w:pPr>
              <w:pStyle w:val="Compact"/>
              <w:jc w:val="left"/>
            </w:pPr>
            <w:r>
              <w:t xml:space="preserve">pH</w:t>
            </w:r>
          </w:p>
        </w:tc>
        <w:tc>
          <w:p>
            <w:pPr>
              <w:pStyle w:val="Compact"/>
              <w:jc w:val="right"/>
            </w:pPr>
            <w:r>
              <w:t xml:space="preserve">6.01</w:t>
            </w:r>
          </w:p>
        </w:tc>
      </w:tr>
      <w:tr>
        <w:tc>
          <w:p>
            <w:pPr>
              <w:pStyle w:val="Compact"/>
              <w:jc w:val="left"/>
            </w:pPr>
            <w:r>
              <w:t xml:space="preserve">Conductivity (mmhos/cm)</w:t>
            </w:r>
          </w:p>
        </w:tc>
        <w:tc>
          <w:p>
            <w:pPr>
              <w:pStyle w:val="Compact"/>
              <w:jc w:val="right"/>
            </w:pPr>
            <w:r>
              <w:t xml:space="preserve">0.68</w:t>
            </w:r>
          </w:p>
        </w:tc>
      </w:tr>
      <w:tr>
        <w:tc>
          <w:p>
            <w:pPr>
              <w:pStyle w:val="Compact"/>
              <w:jc w:val="left"/>
            </w:pPr>
            <w:r>
              <w:t xml:space="preserve">Nitrate (ppm N)</w:t>
            </w:r>
          </w:p>
        </w:tc>
        <w:tc>
          <w:p>
            <w:pPr>
              <w:pStyle w:val="Compact"/>
              <w:jc w:val="right"/>
            </w:pPr>
            <w:r>
              <w:t xml:space="preserve">62.40</w:t>
            </w:r>
          </w:p>
        </w:tc>
      </w:tr>
      <w:tr>
        <w:tc>
          <w:p>
            <w:pPr>
              <w:pStyle w:val="Compact"/>
              <w:jc w:val="left"/>
            </w:pPr>
            <w:r>
              <w:t xml:space="preserve">Ammonium (ppm)</w:t>
            </w:r>
          </w:p>
        </w:tc>
        <w:tc>
          <w:p>
            <w:pPr>
              <w:pStyle w:val="Compact"/>
              <w:jc w:val="right"/>
            </w:pPr>
            <w:r>
              <w:t xml:space="preserve">0.09</w:t>
            </w:r>
          </w:p>
        </w:tc>
      </w:tr>
      <w:tr>
        <w:tc>
          <w:p>
            <w:pPr>
              <w:pStyle w:val="Compact"/>
              <w:jc w:val="left"/>
            </w:pPr>
            <w:r>
              <w:t xml:space="preserve">Phosphorus (ppm)</w:t>
            </w:r>
          </w:p>
        </w:tc>
        <w:tc>
          <w:p>
            <w:pPr>
              <w:pStyle w:val="Compact"/>
              <w:jc w:val="right"/>
            </w:pPr>
            <w:r>
              <w:t xml:space="preserve">0.41</w:t>
            </w:r>
          </w:p>
        </w:tc>
      </w:tr>
      <w:tr>
        <w:tc>
          <w:p>
            <w:pPr>
              <w:pStyle w:val="Compact"/>
              <w:jc w:val="left"/>
            </w:pPr>
            <w:r>
              <w:t xml:space="preserve">Potassium (ppm)</w:t>
            </w:r>
          </w:p>
        </w:tc>
        <w:tc>
          <w:p>
            <w:pPr>
              <w:pStyle w:val="Compact"/>
              <w:jc w:val="right"/>
            </w:pPr>
            <w:r>
              <w:t xml:space="preserve">29.30</w:t>
            </w:r>
          </w:p>
        </w:tc>
      </w:tr>
      <w:tr>
        <w:tc>
          <w:p>
            <w:pPr>
              <w:pStyle w:val="Compact"/>
              <w:jc w:val="left"/>
            </w:pPr>
            <w:r>
              <w:t xml:space="preserve">Calcium (ppm)</w:t>
            </w:r>
          </w:p>
        </w:tc>
        <w:tc>
          <w:p>
            <w:pPr>
              <w:pStyle w:val="Compact"/>
              <w:jc w:val="right"/>
            </w:pPr>
            <w:r>
              <w:t xml:space="preserve">64.40</w:t>
            </w:r>
          </w:p>
        </w:tc>
      </w:tr>
      <w:tr>
        <w:tc>
          <w:p>
            <w:pPr>
              <w:pStyle w:val="Compact"/>
              <w:jc w:val="left"/>
            </w:pPr>
            <w:r>
              <w:t xml:space="preserve">Magnesium (ppm)</w:t>
            </w:r>
          </w:p>
        </w:tc>
        <w:tc>
          <w:p>
            <w:pPr>
              <w:pStyle w:val="Compact"/>
              <w:jc w:val="right"/>
            </w:pPr>
            <w:r>
              <w:t xml:space="preserve">13.80</w:t>
            </w:r>
          </w:p>
        </w:tc>
      </w:tr>
      <w:tr>
        <w:tc>
          <w:p>
            <w:pPr>
              <w:pStyle w:val="Compact"/>
              <w:jc w:val="left"/>
            </w:pPr>
            <w:r>
              <w:t xml:space="preserve">Chloride (ppm)</w:t>
            </w:r>
          </w:p>
        </w:tc>
        <w:tc>
          <w:p>
            <w:pPr>
              <w:pStyle w:val="Compact"/>
              <w:jc w:val="right"/>
            </w:pPr>
            <w:r>
              <w:t xml:space="preserve">28.50</w:t>
            </w:r>
          </w:p>
        </w:tc>
      </w:tr>
      <w:tr>
        <w:tc>
          <w:p>
            <w:pPr>
              <w:pStyle w:val="Compact"/>
              <w:jc w:val="left"/>
            </w:pPr>
            <w:r>
              <w:t xml:space="preserve">Sulfate (ppm)</w:t>
            </w:r>
          </w:p>
        </w:tc>
        <w:tc>
          <w:p>
            <w:pPr>
              <w:pStyle w:val="Compact"/>
              <w:jc w:val="right"/>
            </w:pPr>
            <w:r>
              <w:t xml:space="preserve">19.30</w:t>
            </w:r>
          </w:p>
        </w:tc>
      </w:tr>
      <w:tr>
        <w:tc>
          <w:p>
            <w:pPr>
              <w:pStyle w:val="Compact"/>
              <w:jc w:val="left"/>
            </w:pPr>
            <w:r>
              <w:t xml:space="preserve">Sodium (ppm)</w:t>
            </w:r>
          </w:p>
        </w:tc>
        <w:tc>
          <w:p>
            <w:pPr>
              <w:pStyle w:val="Compact"/>
              <w:jc w:val="right"/>
            </w:pPr>
            <w:r>
              <w:t xml:space="preserve">17.80</w:t>
            </w:r>
          </w:p>
        </w:tc>
      </w:tr>
      <w:tr>
        <w:tc>
          <w:p>
            <w:pPr>
              <w:pStyle w:val="Compact"/>
              <w:jc w:val="left"/>
            </w:pPr>
            <w:r>
              <w:t xml:space="preserve">Zinc (ppm)</w:t>
            </w:r>
          </w:p>
        </w:tc>
        <w:tc>
          <w:p>
            <w:pPr>
              <w:pStyle w:val="Compact"/>
              <w:jc w:val="right"/>
            </w:pPr>
            <w:r>
              <w:t xml:space="preserve">0.12</w:t>
            </w:r>
          </w:p>
        </w:tc>
      </w:tr>
      <w:tr>
        <w:tc>
          <w:p>
            <w:pPr>
              <w:pStyle w:val="Compact"/>
              <w:jc w:val="left"/>
            </w:pPr>
            <w:r>
              <w:t xml:space="preserve">Manganese (ppm)</w:t>
            </w:r>
          </w:p>
        </w:tc>
        <w:tc>
          <w:p>
            <w:pPr>
              <w:pStyle w:val="Compact"/>
              <w:jc w:val="right"/>
            </w:pPr>
            <w:r>
              <w:t xml:space="preserve">0.06</w:t>
            </w:r>
          </w:p>
        </w:tc>
      </w:tr>
      <w:tr>
        <w:tc>
          <w:p>
            <w:pPr>
              <w:pStyle w:val="Compact"/>
              <w:jc w:val="left"/>
            </w:pPr>
            <w:r>
              <w:t xml:space="preserve">Cooper (ppm)</w:t>
            </w:r>
          </w:p>
        </w:tc>
        <w:tc>
          <w:p>
            <w:pPr>
              <w:pStyle w:val="Compact"/>
              <w:jc w:val="right"/>
            </w:pPr>
            <w:r>
              <w:t xml:space="preserve">0.81</w:t>
            </w:r>
          </w:p>
        </w:tc>
      </w:tr>
      <w:tr>
        <w:tc>
          <w:p>
            <w:pPr>
              <w:pStyle w:val="Compact"/>
              <w:jc w:val="left"/>
            </w:pPr>
            <w:r>
              <w:t xml:space="preserve">Iron (ppm)</w:t>
            </w:r>
          </w:p>
        </w:tc>
        <w:tc>
          <w:p>
            <w:pPr>
              <w:pStyle w:val="Compact"/>
              <w:jc w:val="right"/>
            </w:pPr>
            <w:r>
              <w:t xml:space="preserve">0.90</w:t>
            </w:r>
          </w:p>
        </w:tc>
      </w:tr>
      <w:tr>
        <w:tc>
          <w:p>
            <w:pPr>
              <w:pStyle w:val="Compact"/>
              <w:jc w:val="left"/>
            </w:pPr>
            <w:r>
              <w:t xml:space="preserve">Aluminium (ppm)</w:t>
            </w:r>
          </w:p>
        </w:tc>
        <w:tc>
          <w:p>
            <w:pPr>
              <w:pStyle w:val="Compact"/>
              <w:jc w:val="right"/>
            </w:pPr>
            <w:r>
              <w:t xml:space="preserve">1.66</w:t>
            </w:r>
          </w:p>
        </w:tc>
      </w:tr>
    </w:tbl>
    <w:p>
      <w:pPr>
        <w:pStyle w:val="BodyText"/>
      </w:pPr>
      <w:r>
        <w:t xml:space="preserve"> </w:t>
      </w:r>
    </w:p>
    <w:p>
      <w:pPr>
        <w:pStyle w:val="BodyText"/>
      </w:pPr>
      <w:r>
        <w:rPr>
          <w:i/>
        </w:rPr>
        <w:t xml:space="preserve">productivity</w:t>
      </w:r>
      <w:r>
        <w:br w:type="textWrapping"/>
      </w:r>
      <w:r>
        <w:t xml:space="preserve">We tested the effect of the fertilization treatment on six measures of overall plant growth and productivity (fruit number, average fruit weight, shoots fresh weight, shoots dry 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plants).</w:t>
      </w:r>
      <w:r>
        <w:t xml:space="preserve"> </w:t>
      </w:r>
      <w:r>
        <w:t xml:space="preserve"> </w:t>
      </w:r>
      <w:r>
        <w:br w:type="textWrapping"/>
      </w:r>
      <w:r>
        <w:drawing>
          <wp:inline>
            <wp:extent cx="4762500" cy="2929963"/>
            <wp:effectExtent b="0" l="0" r="0" t="0"/>
            <wp:docPr descr="Figure 2" title=""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title=""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47,664 paired-end reads were obtained per sample. After quality filters were applied, including removing chimeras, and paired-end reads were merged, an average of 19,690 sequences remained per sample. While 192 soil samples for fungi and bacteria, and 96 root samples for fungi and bacteria were sequenced, seven fungi-soil samples, 15 fungi-root samples and one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170 Amplicon Sequence Variants per sample (average of 176 fungal-soil ASV, 37 fungal-root ASVs, 269 bacterial-soil ASVs and 92 bacterial-root ASVs). Many of those were unique to one of a few samples (total number of 6,112 fungal-soil, 845 fungal-root, 9,352 bacterial-soil and 2,023 bacterial-roots ASVs). After quality filtering ASVs that were found in fewer than 10% of the samples, we retained 413, 106, 811 and 325 ASVs and which comprised 94%, 95%, 89% and 98%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fungi_soil</w:t>
            </w:r>
          </w:p>
        </w:tc>
        <w:tc>
          <w:tcPr>
            <w:tcBorders>
              <w:bottom w:val="single"/>
            </w:tcBorders>
            <w:vAlign w:val="bottom"/>
          </w:tcPr>
          <w:p>
            <w:pPr>
              <w:pStyle w:val="Compact"/>
              <w:jc w:val="right"/>
            </w:pPr>
            <w:r>
              <w:t xml:space="preserve">fungi_root</w:t>
            </w:r>
          </w:p>
        </w:tc>
        <w:tc>
          <w:tcPr>
            <w:tcBorders>
              <w:bottom w:val="single"/>
            </w:tcBorders>
            <w:vAlign w:val="bottom"/>
          </w:tcPr>
          <w:p>
            <w:pPr>
              <w:pStyle w:val="Compact"/>
              <w:jc w:val="right"/>
            </w:pPr>
            <w:r>
              <w:t xml:space="preserve">bacteria_soil</w:t>
            </w:r>
          </w:p>
        </w:tc>
        <w:tc>
          <w:tcPr>
            <w:tcBorders>
              <w:bottom w:val="single"/>
            </w:tcBorders>
            <w:vAlign w:val="bottom"/>
          </w:tcPr>
          <w:p>
            <w:pPr>
              <w:pStyle w:val="Compact"/>
              <w:jc w:val="right"/>
            </w:pPr>
            <w:r>
              <w:t xml:space="preserve">bacteria_root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50,847</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32,626</w:t>
            </w:r>
          </w:p>
        </w:tc>
        <w:tc>
          <w:p>
            <w:pPr>
              <w:pStyle w:val="Compact"/>
              <w:jc w:val="right"/>
            </w:pPr>
            <w:r>
              <w:t xml:space="preserve">12,714</w:t>
            </w:r>
          </w:p>
        </w:tc>
        <w:tc>
          <w:p>
            <w:pPr>
              <w:pStyle w:val="Compact"/>
              <w:jc w:val="right"/>
            </w:pPr>
            <w:r>
              <w:t xml:space="preserve">29,662</w:t>
            </w:r>
          </w:p>
        </w:tc>
        <w:tc>
          <w:p>
            <w:pPr>
              <w:pStyle w:val="Compact"/>
              <w:jc w:val="right"/>
            </w:pPr>
            <w:r>
              <w:t xml:space="preserve">37,642</w:t>
            </w:r>
          </w:p>
        </w:tc>
      </w:tr>
      <w:tr>
        <w:tc>
          <w:p>
            <w:pPr>
              <w:pStyle w:val="Compact"/>
              <w:jc w:val="left"/>
            </w:pPr>
            <w:r>
              <w:t xml:space="preserve">Nb_seq_mean_filt_merged</w:t>
            </w:r>
          </w:p>
        </w:tc>
        <w:tc>
          <w:p>
            <w:pPr>
              <w:pStyle w:val="Compact"/>
              <w:jc w:val="right"/>
            </w:pPr>
            <w:r>
              <w:t xml:space="preserve">29,300</w:t>
            </w:r>
          </w:p>
        </w:tc>
        <w:tc>
          <w:p>
            <w:pPr>
              <w:pStyle w:val="Compact"/>
              <w:jc w:val="right"/>
            </w:pPr>
            <w:r>
              <w:t xml:space="preserve">12,094</w:t>
            </w:r>
          </w:p>
        </w:tc>
        <w:tc>
          <w:p>
            <w:pPr>
              <w:pStyle w:val="Compact"/>
              <w:jc w:val="right"/>
            </w:pPr>
            <w:r>
              <w:t xml:space="preserve">14,060</w:t>
            </w:r>
          </w:p>
        </w:tc>
        <w:tc>
          <w:p>
            <w:pPr>
              <w:pStyle w:val="Compact"/>
              <w:jc w:val="right"/>
            </w:pPr>
            <w:r>
              <w:t xml:space="preserve">30,706</w:t>
            </w:r>
          </w:p>
        </w:tc>
      </w:tr>
      <w:tr>
        <w:tc>
          <w:p>
            <w:pPr>
              <w:pStyle w:val="Compact"/>
              <w:jc w:val="left"/>
            </w:pPr>
            <w:r>
              <w:t xml:space="preserve">Nb_seq_mean_filt_merg_non_chimeras</w:t>
            </w:r>
          </w:p>
        </w:tc>
        <w:tc>
          <w:p>
            <w:pPr>
              <w:pStyle w:val="Compact"/>
              <w:jc w:val="right"/>
            </w:pPr>
            <w:r>
              <w:t xml:space="preserve">25,476</w:t>
            </w:r>
          </w:p>
        </w:tc>
        <w:tc>
          <w:p>
            <w:pPr>
              <w:pStyle w:val="Compact"/>
              <w:jc w:val="right"/>
            </w:pPr>
            <w:r>
              <w:t xml:space="preserve">9,849</w:t>
            </w:r>
          </w:p>
        </w:tc>
        <w:tc>
          <w:p>
            <w:pPr>
              <w:pStyle w:val="Compact"/>
              <w:jc w:val="right"/>
            </w:pPr>
            <w:r>
              <w:t xml:space="preserve">13,521</w:t>
            </w:r>
          </w:p>
        </w:tc>
        <w:tc>
          <w:p>
            <w:pPr>
              <w:pStyle w:val="Compact"/>
              <w:jc w:val="right"/>
            </w:pPr>
            <w:r>
              <w:t xml:space="preserve">30,408</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81</w:t>
            </w:r>
          </w:p>
        </w:tc>
        <w:tc>
          <w:p>
            <w:pPr>
              <w:pStyle w:val="Compact"/>
              <w:jc w:val="right"/>
            </w:pPr>
            <w:r>
              <w:t xml:space="preserve">192</w:t>
            </w:r>
          </w:p>
        </w:tc>
        <w:tc>
          <w:p>
            <w:pPr>
              <w:pStyle w:val="Compact"/>
              <w:jc w:val="right"/>
            </w:pPr>
            <w:r>
              <w:t xml:space="preserve">95</w:t>
            </w:r>
          </w:p>
        </w:tc>
      </w:tr>
      <w:tr>
        <w:tc>
          <w:p>
            <w:pPr>
              <w:pStyle w:val="Compact"/>
              <w:jc w:val="left"/>
            </w:pPr>
            <w:r>
              <w:t xml:space="preserve">ASV_sum</w:t>
            </w:r>
          </w:p>
        </w:tc>
        <w:tc>
          <w:p>
            <w:pPr>
              <w:pStyle w:val="Compact"/>
              <w:jc w:val="right"/>
            </w:pPr>
            <w:r>
              <w:t xml:space="preserve">6,112</w:t>
            </w:r>
          </w:p>
        </w:tc>
        <w:tc>
          <w:p>
            <w:pPr>
              <w:pStyle w:val="Compact"/>
              <w:jc w:val="right"/>
            </w:pPr>
            <w:r>
              <w:t xml:space="preserve">845</w:t>
            </w:r>
          </w:p>
        </w:tc>
        <w:tc>
          <w:p>
            <w:pPr>
              <w:pStyle w:val="Compact"/>
              <w:jc w:val="right"/>
            </w:pPr>
            <w:r>
              <w:t xml:space="preserve">9,352</w:t>
            </w:r>
          </w:p>
        </w:tc>
        <w:tc>
          <w:p>
            <w:pPr>
              <w:pStyle w:val="Compact"/>
              <w:jc w:val="right"/>
            </w:pPr>
            <w:r>
              <w:t xml:space="preserve">2,023</w:t>
            </w:r>
          </w:p>
        </w:tc>
      </w:tr>
      <w:tr>
        <w:tc>
          <w:p>
            <w:pPr>
              <w:pStyle w:val="Compact"/>
              <w:jc w:val="left"/>
            </w:pPr>
            <w:r>
              <w:t xml:space="preserve">ASV_sum_trimmed</w:t>
            </w:r>
          </w:p>
        </w:tc>
        <w:tc>
          <w:p>
            <w:pPr>
              <w:pStyle w:val="Compact"/>
              <w:jc w:val="right"/>
            </w:pPr>
            <w:r>
              <w:t xml:space="preserve">413</w:t>
            </w:r>
          </w:p>
        </w:tc>
        <w:tc>
          <w:p>
            <w:pPr>
              <w:pStyle w:val="Compact"/>
              <w:jc w:val="right"/>
            </w:pPr>
            <w:r>
              <w:t xml:space="preserve">106</w:t>
            </w:r>
          </w:p>
        </w:tc>
        <w:tc>
          <w:p>
            <w:pPr>
              <w:pStyle w:val="Compact"/>
              <w:jc w:val="right"/>
            </w:pPr>
            <w:r>
              <w:t xml:space="preserve">811</w:t>
            </w:r>
          </w:p>
        </w:tc>
        <w:tc>
          <w:p>
            <w:pPr>
              <w:pStyle w:val="Compact"/>
              <w:jc w:val="right"/>
            </w:pPr>
            <w:r>
              <w:t xml:space="preserve">325</w:t>
            </w:r>
          </w:p>
        </w:tc>
      </w:tr>
      <w:tr>
        <w:tc>
          <w:p>
            <w:pPr>
              <w:pStyle w:val="Compact"/>
              <w:jc w:val="left"/>
            </w:pPr>
            <w:r>
              <w:t xml:space="preserve">ASV_persample</w:t>
            </w:r>
          </w:p>
        </w:tc>
        <w:tc>
          <w:p>
            <w:pPr>
              <w:pStyle w:val="Compact"/>
              <w:jc w:val="right"/>
            </w:pPr>
            <w:r>
              <w:t xml:space="preserve">176</w:t>
            </w:r>
          </w:p>
        </w:tc>
        <w:tc>
          <w:p>
            <w:pPr>
              <w:pStyle w:val="Compact"/>
              <w:jc w:val="right"/>
            </w:pPr>
            <w:r>
              <w:t xml:space="preserve">37</w:t>
            </w:r>
          </w:p>
        </w:tc>
        <w:tc>
          <w:p>
            <w:pPr>
              <w:pStyle w:val="Compact"/>
              <w:jc w:val="right"/>
            </w:pPr>
            <w:r>
              <w:t xml:space="preserve">269</w:t>
            </w:r>
          </w:p>
        </w:tc>
        <w:tc>
          <w:p>
            <w:pPr>
              <w:pStyle w:val="Compact"/>
              <w:jc w:val="right"/>
            </w:pPr>
            <w:r>
              <w:t xml:space="preserve">92</w:t>
            </w:r>
          </w:p>
        </w:tc>
      </w:tr>
    </w:tbl>
    <w:p>
      <w:pPr>
        <w:pStyle w:val="BodyText"/>
      </w:pPr>
      <w:r>
        <w:t xml:space="preserve"> </w:t>
      </w:r>
      <w:r>
        <w:br w:type="textWrapping"/>
      </w:r>
      <w:r>
        <w:t xml:space="preserve"> </w:t>
      </w:r>
      <w:r>
        <w:br w:type="textWrapping"/>
      </w:r>
      <w:r>
        <w:rPr>
          <w:i/>
        </w:rPr>
        <w:t xml:space="preserve">Root,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by Nectriaceae, both in the root and soil samples. The bacterial family Bacilaceae dominated to a lesser extent the soil communities. Bacterial root communities were largely dominated by the Cyanobacteria phylum (identified as</w:t>
      </w:r>
      <w:r>
        <w:t xml:space="preserve"> </w:t>
      </w:r>
      <w:r>
        <w:rPr>
          <w:i/>
        </w:rPr>
        <w:t xml:space="preserve">chloroplast</w:t>
      </w:r>
      <w:r>
        <w:t xml:space="preserve"> </w:t>
      </w:r>
      <w:r>
        <w:t xml:space="preserve">according to the Ribosomal Database Project Naive Bayesian Classifier and the silva database). In fact, these ASVs are likely sequenced chloroplasts from the plants themselves, despite the fact that the primer pair used should have primarly targeted the bacterial V3-V4 region of the 16S ribosomal gene.</w:t>
      </w:r>
      <w:r>
        <w:br w:type="textWrapping"/>
      </w:r>
      <w:r>
        <w:t xml:space="preserve"> </w:t>
      </w:r>
      <w:r>
        <w:br w:type="textWrapping"/>
      </w:r>
      <w:r>
        <w:drawing>
          <wp:inline>
            <wp:extent cx="5334000" cy="3556000"/>
            <wp:effectExtent b="0" l="0" r="0" t="0"/>
            <wp:docPr descr="Figure 4a" title="" id="1" name="Picture"/>
            <a:graphic>
              <a:graphicData uri="http://schemas.openxmlformats.org/drawingml/2006/picture">
                <pic:pic>
                  <pic:nvPicPr>
                    <pic:cNvPr descr="../figures/Figure4_FAMILY_barplots_fungi.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4a: Barplots fo the relative abundance of fungal ASVs for fungi</w:t>
      </w:r>
      <w:r>
        <w:br w:type="textWrapping"/>
      </w:r>
      <w:r>
        <w:t xml:space="preserve"> </w:t>
      </w:r>
      <w:r>
        <w:t xml:space="preserve"> </w:t>
      </w:r>
      <w:r>
        <w:t xml:space="preserve"> </w:t>
      </w:r>
      <w:r>
        <w:br w:type="textWrapping"/>
      </w:r>
      <w:r>
        <w:drawing>
          <wp:inline>
            <wp:extent cx="5334000" cy="3556000"/>
            <wp:effectExtent b="0" l="0" r="0" t="0"/>
            <wp:docPr descr="Figure 4b" title="" id="1" name="Picture"/>
            <a:graphic>
              <a:graphicData uri="http://schemas.openxmlformats.org/drawingml/2006/picture">
                <pic:pic>
                  <pic:nvPicPr>
                    <pic:cNvPr descr="../figures/Figure4_FAMILY_barplots_bacteri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4b: Barplots fo the relative abundance of bacterial ASVs for bacteria</w:t>
      </w:r>
      <w:r>
        <w:br w:type="textWrapping"/>
      </w:r>
      <w:r>
        <w:t xml:space="preserve"> </w:t>
      </w:r>
      <w:r>
        <w:t xml:space="preserve"> </w:t>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were used to assess significance. In soil samples, fungal diversity did not differ with respect to the fertilization (</w:t>
      </w:r>
      <m:oMath>
        <m:sSub>
          <m:e>
            <m:r>
              <m:t>F</m:t>
            </m:r>
          </m:e>
          <m:sub>
            <m:r>
              <m:t>(</m:t>
            </m:r>
            <m:r>
              <m:t>1</m:t>
            </m:r>
            <m:r>
              <m:t>,</m:t>
            </m:r>
            <m:r>
              <m:t>161</m:t>
            </m:r>
            <m:r>
              <m:t>)</m:t>
            </m:r>
          </m:sub>
        </m:sSub>
      </m:oMath>
      <w:r>
        <w:t xml:space="preserve">=0.17,</w:t>
      </w:r>
      <w:r>
        <w:t xml:space="preserve"> </w:t>
      </w:r>
      <w:r>
        <w:rPr>
          <w:i/>
        </w:rPr>
        <w:t xml:space="preserve">p</w:t>
      </w:r>
      <w:r>
        <w:t xml:space="preserve">-value=0.6853), but did so with respect to planting (</w:t>
      </w:r>
      <m:oMath>
        <m:sSub>
          <m:e>
            <m:r>
              <m:t>F</m:t>
            </m:r>
          </m:e>
          <m:sub>
            <m:r>
              <m:t>(</m:t>
            </m:r>
            <m:r>
              <m:t>1</m:t>
            </m:r>
            <m:r>
              <m:t>,</m:t>
            </m:r>
            <m:r>
              <m:t>161</m:t>
            </m:r>
            <m:r>
              <m:t>)</m:t>
            </m:r>
          </m:sub>
        </m:sSub>
      </m:oMath>
      <w:r>
        <w:t xml:space="preserve">=9.00,</w:t>
      </w:r>
      <w:r>
        <w:t xml:space="preserve"> </w:t>
      </w:r>
      <w:r>
        <w:rPr>
          <w:i/>
        </w:rPr>
        <w:t xml:space="preserve">p</w:t>
      </w:r>
      <w:r>
        <w:t xml:space="preserve">-value&lt;0.0032) treatment and species (</w:t>
      </w:r>
      <m:oMath>
        <m:sSub>
          <m:e>
            <m:r>
              <m:t>F</m:t>
            </m:r>
          </m:e>
          <m:sub>
            <m:r>
              <m:t>(</m:t>
            </m:r>
            <m:r>
              <m:t>1</m:t>
            </m:r>
            <m:r>
              <m:t>,</m:t>
            </m:r>
            <m:r>
              <m:t>161</m:t>
            </m:r>
            <m:r>
              <m:t>)</m:t>
            </m:r>
          </m:sub>
        </m:sSub>
      </m:oMath>
      <w:r>
        <w:t xml:space="preserve">=13.03,</w:t>
      </w:r>
      <w:r>
        <w:t xml:space="preserve"> </w:t>
      </w:r>
      <w:r>
        <w:rPr>
          <w:i/>
        </w:rPr>
        <w:t xml:space="preserve">p</w:t>
      </w:r>
      <w:r>
        <w:t xml:space="preserve">-value=0.0003). In root samples, fungal diversity differed with respect to the fertilization treatment (</w:t>
      </w:r>
      <m:oMath>
        <m:sSub>
          <m:e>
            <m:r>
              <m:t>F</m:t>
            </m:r>
          </m:e>
          <m:sub>
            <m:r>
              <m:t>(</m:t>
            </m:r>
            <m:r>
              <m:t>1</m:t>
            </m:r>
            <m:r>
              <m:t>,</m:t>
            </m:r>
            <m:r>
              <m:t>56</m:t>
            </m:r>
            <m:r>
              <m:t>)</m:t>
            </m:r>
          </m:sub>
        </m:sSub>
      </m:oMath>
      <w:r>
        <w:t xml:space="preserve">=10.1,</w:t>
      </w:r>
      <w:r>
        <w:t xml:space="preserve"> </w:t>
      </w:r>
      <w:r>
        <w:rPr>
          <w:i/>
        </w:rPr>
        <w:t xml:space="preserve">p</w:t>
      </w:r>
      <w:r>
        <w:t xml:space="preserve">-value=0.003), and the species tested (</w:t>
      </w:r>
      <m:oMath>
        <m:sSub>
          <m:e>
            <m:r>
              <m:t>F</m:t>
            </m:r>
          </m:e>
          <m:sub>
            <m:r>
              <m:t>(</m:t>
            </m:r>
            <m:r>
              <m:t>1</m:t>
            </m:r>
            <m:r>
              <m:t>,</m:t>
            </m:r>
            <m:r>
              <m:t>56</m:t>
            </m:r>
            <m:r>
              <m:t>)</m:t>
            </m:r>
          </m:sub>
        </m:sSub>
      </m:oMath>
      <w:r>
        <w:t xml:space="preserve">=4.5,</w:t>
      </w:r>
      <w:r>
        <w:t xml:space="preserve"> </w:t>
      </w:r>
      <w:r>
        <w:rPr>
          <w:i/>
        </w:rPr>
        <w:t xml:space="preserve">p</w:t>
      </w:r>
      <w:r>
        <w:t xml:space="preserve">-value=0.04). In soil samples, bacterial diversity differed with respect to the fertilization treatment (</w:t>
      </w:r>
      <m:oMath>
        <m:sSub>
          <m:e>
            <m:r>
              <m:t>F</m:t>
            </m:r>
          </m:e>
          <m:sub>
            <m:r>
              <m:t>(</m:t>
            </m:r>
            <m:r>
              <m:t>1</m:t>
            </m:r>
            <m:r>
              <m:t>,</m:t>
            </m:r>
            <m:r>
              <m:t>165</m:t>
            </m:r>
            <m:r>
              <m:t>)</m:t>
            </m:r>
          </m:sub>
        </m:sSub>
      </m:oMath>
      <w:r>
        <w:t xml:space="preserve">=17.13,</w:t>
      </w:r>
      <w:r>
        <w:t xml:space="preserve"> </w:t>
      </w:r>
      <w:r>
        <w:rPr>
          <w:i/>
        </w:rPr>
        <w:t xml:space="preserve">p</w:t>
      </w:r>
      <w:r>
        <w:t xml:space="preserve">-value&lt;0.0001), planting (</w:t>
      </w:r>
      <m:oMath>
        <m:sSub>
          <m:e>
            <m:r>
              <m:t>F</m:t>
            </m:r>
          </m:e>
          <m:sub>
            <m:r>
              <m:t>(</m:t>
            </m:r>
            <m:r>
              <m:t>1</m:t>
            </m:r>
            <m:r>
              <m:t>,</m:t>
            </m:r>
            <m:r>
              <m:t>165</m:t>
            </m:r>
            <m:r>
              <m:t>)</m:t>
            </m:r>
          </m:sub>
        </m:sSub>
      </m:oMath>
      <w:r>
        <w:t xml:space="preserve">=139.0,</w:t>
      </w:r>
      <w:r>
        <w:t xml:space="preserve"> </w:t>
      </w:r>
      <w:r>
        <w:rPr>
          <w:i/>
        </w:rPr>
        <w:t xml:space="preserve">p</w:t>
      </w:r>
      <w:r>
        <w:t xml:space="preserve">-value&lt;0.0001) but not species (</w:t>
      </w:r>
      <m:oMath>
        <m:sSub>
          <m:e>
            <m:r>
              <m:t>F</m:t>
            </m:r>
          </m:e>
          <m:sub>
            <m:r>
              <m:t>(</m:t>
            </m:r>
            <m:r>
              <m:t>1</m:t>
            </m:r>
            <m:r>
              <m:t>,</m:t>
            </m:r>
            <m:r>
              <m:t>165</m:t>
            </m:r>
            <m:r>
              <m:t>)</m:t>
            </m:r>
          </m:sub>
        </m:sSub>
      </m:oMath>
      <w:r>
        <w:t xml:space="preserve">=1.89,</w:t>
      </w:r>
      <w:r>
        <w:t xml:space="preserve"> </w:t>
      </w:r>
      <w:r>
        <w:rPr>
          <w:i/>
        </w:rPr>
        <w:t xml:space="preserve">p</w:t>
      </w:r>
      <w:r>
        <w:t xml:space="preserve">-value=0.17). In root samples, bacterial diversity differed with respect to the fertilization treatment (</w:t>
      </w:r>
      <m:oMath>
        <m:sSub>
          <m:e>
            <m:r>
              <m:t>F</m:t>
            </m:r>
          </m:e>
          <m:sub>
            <m:r>
              <m:t>(</m:t>
            </m:r>
            <m:r>
              <m:t>1</m:t>
            </m:r>
            <m:r>
              <m:t>,</m:t>
            </m:r>
            <m:r>
              <m:t>67</m:t>
            </m:r>
            <m:r>
              <m:t>)</m:t>
            </m:r>
          </m:sub>
        </m:sSub>
      </m:oMath>
      <w:r>
        <w:t xml:space="preserve">=17.27,</w:t>
      </w:r>
      <w:r>
        <w:t xml:space="preserve"> </w:t>
      </w:r>
      <w:r>
        <w:rPr>
          <w:i/>
        </w:rPr>
        <w:t xml:space="preserve">p</w:t>
      </w:r>
      <w:r>
        <w:t xml:space="preserve">-value=0.0001), and the species tested (</w:t>
      </w:r>
      <m:oMath>
        <m:sSub>
          <m:e>
            <m:r>
              <m:t>F</m:t>
            </m:r>
          </m:e>
          <m:sub>
            <m:r>
              <m:t>(</m:t>
            </m:r>
            <m:r>
              <m:t>1</m:t>
            </m:r>
            <m:r>
              <m:t>,</m:t>
            </m:r>
            <m:r>
              <m:t>67</m:t>
            </m:r>
            <m:r>
              <m:t>)</m:t>
            </m:r>
          </m:sub>
        </m:sSub>
      </m:oMath>
      <w:r>
        <w:t xml:space="preserve">=359.69,</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title="" id="1" name="Picture"/>
            <a:graphic>
              <a:graphicData uri="http://schemas.openxmlformats.org/drawingml/2006/picture">
                <pic:pic>
                  <pic:nvPicPr>
                    <pic:cNvPr descr="../figures/Figure5_alpha.pdf" id="0"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Boxplot of alpha diversity according to the treatment, species and planting effect for fungal-root, fungal-soil, bacteria-soil and bacteria-root.</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Table 3)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(2e-04)</w:t>
            </w:r>
          </w:p>
        </w:tc>
        <w:tc>
          <w:p>
            <w:pPr>
              <w:pStyle w:val="Compact"/>
              <w:jc w:val="left"/>
            </w:pPr>
            <w:r>
              <w:t xml:space="preserve">0.08 (1e-04)</w:t>
            </w:r>
          </w:p>
        </w:tc>
        <w:tc>
          <w:p>
            <w:pPr>
              <w:pStyle w:val="Compact"/>
              <w:jc w:val="left"/>
            </w:pPr>
            <w:r>
              <w:t xml:space="preserve">0.04 (1e-04)</w:t>
            </w:r>
          </w:p>
        </w:tc>
        <w:tc>
          <w:p>
            <w:pPr>
              <w:pStyle w:val="Compact"/>
              <w:jc w:val="left"/>
            </w:pPr>
            <w:r>
              <w:t xml:space="preserve">0.07 (1e-04)</w:t>
            </w:r>
          </w:p>
        </w:tc>
      </w:tr>
      <w:tr>
        <w:tc>
          <w:p>
            <w:pPr>
              <w:pStyle w:val="Compact"/>
              <w:jc w:val="left"/>
            </w:pPr>
            <w:r>
              <w:t xml:space="preserve">planted</w:t>
            </w:r>
          </w:p>
        </w:tc>
        <w:tc>
          <w:p>
            <w:pPr>
              <w:pStyle w:val="Compact"/>
              <w:jc w:val="left"/>
            </w:pPr>
            <w:r>
              <w:t xml:space="preserve">0.21 (1e-04)</w:t>
            </w:r>
          </w:p>
        </w:tc>
        <w:tc>
          <w:p>
            <w:pPr>
              <w:pStyle w:val="Compact"/>
              <w:jc w:val="left"/>
            </w:pPr>
            <w:r>
              <w:t xml:space="preserve">NA</w:t>
            </w:r>
          </w:p>
        </w:tc>
        <w:tc>
          <w:p>
            <w:pPr>
              <w:pStyle w:val="Compact"/>
              <w:jc w:val="left"/>
            </w:pPr>
            <w:r>
              <w:t xml:space="preserve">0.13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(1e-04)</w:t>
            </w:r>
          </w:p>
        </w:tc>
        <w:tc>
          <w:p>
            <w:pPr>
              <w:pStyle w:val="Compact"/>
              <w:jc w:val="left"/>
            </w:pPr>
            <w:r>
              <w:t xml:space="preserve">0.26 (1e-04)</w:t>
            </w:r>
          </w:p>
        </w:tc>
        <w:tc>
          <w:p>
            <w:pPr>
              <w:pStyle w:val="Compact"/>
              <w:jc w:val="left"/>
            </w:pPr>
            <w:r>
              <w:t xml:space="preserve">0.02 (3e-04)</w:t>
            </w:r>
          </w:p>
        </w:tc>
        <w:tc>
          <w:p>
            <w:pPr>
              <w:pStyle w:val="Compact"/>
              <w:jc w:val="left"/>
            </w:pPr>
            <w:r>
              <w:t xml:space="preserve">0.52 (1e-04)</w:t>
            </w:r>
          </w:p>
        </w:tc>
      </w:tr>
      <w:tr>
        <w:tc>
          <w:p>
            <w:pPr>
              <w:pStyle w:val="Compact"/>
              <w:jc w:val="left"/>
            </w:pPr>
            <w:r>
              <w:t xml:space="preserve">fertilization:planted</w:t>
            </w:r>
          </w:p>
        </w:tc>
        <w:tc>
          <w:p>
            <w:pPr>
              <w:pStyle w:val="Compact"/>
              <w:jc w:val="left"/>
            </w:pPr>
            <w:r>
              <w:t xml:space="preserve">0.01 (0.003)</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(0.006)</w:t>
            </w:r>
          </w:p>
        </w:tc>
        <w:tc>
          <w:p>
            <w:pPr>
              <w:pStyle w:val="Compact"/>
              <w:jc w:val="left"/>
            </w:pPr>
            <w:r>
              <w:t xml:space="preserve">0.04 (0.002)</w:t>
            </w:r>
          </w:p>
        </w:tc>
        <w:tc>
          <w:p>
            <w:pPr>
              <w:pStyle w:val="Compact"/>
              <w:jc w:val="left"/>
            </w:pPr>
            <w:r>
              <w:t xml:space="preserve">0.03 (1e-04)</w:t>
            </w:r>
          </w:p>
        </w:tc>
        <w:tc>
          <w:p>
            <w:pPr>
              <w:pStyle w:val="Compact"/>
              <w:jc w:val="left"/>
            </w:pPr>
            <w:r>
              <w:t xml:space="preserve">0.05 (2e-04)</w:t>
            </w:r>
          </w:p>
        </w:tc>
      </w:tr>
      <w:tr>
        <w:tc>
          <w:p>
            <w:pPr>
              <w:pStyle w:val="Compact"/>
              <w:jc w:val="left"/>
            </w:pPr>
            <w:r>
              <w:t xml:space="preserve">planted:species</w:t>
            </w:r>
          </w:p>
        </w:tc>
        <w:tc>
          <w:p>
            <w:pPr>
              <w:pStyle w:val="Compact"/>
              <w:jc w:val="left"/>
            </w:pPr>
            <w:r>
              <w:t xml:space="preserve">0.01 (0.09)</w:t>
            </w:r>
          </w:p>
        </w:tc>
        <w:tc>
          <w:p>
            <w:pPr>
              <w:pStyle w:val="Compact"/>
              <w:jc w:val="left"/>
            </w:pPr>
            <w:r>
              <w:t xml:space="preserve">NA</w:t>
            </w:r>
          </w:p>
        </w:tc>
        <w:tc>
          <w:p>
            <w:pPr>
              <w:pStyle w:val="Compact"/>
              <w:jc w:val="left"/>
            </w:pPr>
            <w:r>
              <w:t xml:space="preserve">0.01 (0.004)</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0.01 (0.16)</w:t>
            </w:r>
          </w:p>
        </w:tc>
        <w:tc>
          <w:p>
            <w:pPr>
              <w:pStyle w:val="Compact"/>
              <w:jc w:val="left"/>
            </w:pPr>
            <w:r>
              <w:t xml:space="preserve">NA</w:t>
            </w:r>
          </w:p>
        </w:tc>
        <w:tc>
          <w:p>
            <w:pPr>
              <w:pStyle w:val="Compact"/>
              <w:jc w:val="left"/>
            </w:pPr>
            <w:r>
              <w:t xml:space="preserve">0.01 (0.04)</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Canonical correspondence analyses and candidate ASVs</w:t>
      </w:r>
      <w:r>
        <w:br w:type="textWrapping"/>
      </w:r>
      <w:r>
        <w:t xml:space="preserve">Canonical correspondence analyses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ype="textWrapping"/>
      </w:r>
      <w:r>
        <w:t xml:space="preserve"> </w:t>
      </w:r>
      <w:r>
        <w:br w:type="textWrapping"/>
      </w:r>
      <w:r>
        <w:t xml:space="preserve"> </w:t>
      </w:r>
      <w:r>
        <w:drawing>
          <wp:inline>
            <wp:extent cx="3810000" cy="2540000"/>
            <wp:effectExtent b="0" l="0" r="0" t="0"/>
            <wp:docPr descr="Figure 6" title="" id="1" name="Picture"/>
            <a:graphic>
              <a:graphicData uri="http://schemas.openxmlformats.org/drawingml/2006/picture">
                <pic:pic>
                  <pic:nvPicPr>
                    <pic:cNvPr descr="../figures/Figure6_rda.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Canonical correspondence analyses for tomato (A-D) and peppers (E-H) for soil-fungi, root-fungi, soil-bacteria and root-bacteria. Samples were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t xml:space="preserve"> </w:t>
      </w:r>
      <w:r>
        <w:t xml:space="preserve"> </w:t>
      </w:r>
      <w:r>
        <w:br w:type="textWrapping"/>
      </w:r>
      <w:r>
        <w:t xml:space="preserve"> </w:t>
      </w:r>
    </w:p>
    <w:p>
      <w:pPr>
        <w:pStyle w:val="BodyText"/>
      </w:pPr>
      <w:r>
        <w:t xml:space="preserve">Next, we identified, for each ordination, the ten ASVs most closely related to the three constrains which behaved in a similar fashion (productivity measures of root fresh weight, shoots fresh weight and fruit number). These ASVs were considered as putative candidates sequences most positively impacted (increase presence of the ASV) by fertilization. We further analysed the corresponding sequences for these eigthy candidates (ten candidates * eight ordinations) ASVs in two seperate alignments (one for fungi and one for bacterial ASVs) and their accompanying phylogenetic trees. In fungi, we identified one cluster of ASVs taxonomically assigned to</w:t>
      </w:r>
      <w:r>
        <w:t xml:space="preserve"> </w:t>
      </w:r>
      <w:r>
        <w:rPr>
          <w:i/>
        </w:rPr>
        <w:t xml:space="preserve">Mortierella</w:t>
      </w:r>
      <w:r>
        <w:t xml:space="preserve"> </w:t>
      </w:r>
      <w:r>
        <w:t xml:space="preserve">(soil saprotrophs in the phylum Zygomycota) positively associated to productivity in both tomato and pepper roots. In addition, we identified a cluster of four different ASVs in tomato soil (ASV132, ASV153) and pepper-root (ASV19 &amp; AV17)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e-value=4e-76)</w:t>
      </w:r>
      <w:r>
        <w:t xml:space="preserve">, a protist in the phylum Cercozoa, which are known to be present in the soil and phyllosphere</w:t>
      </w:r>
      <w:r>
        <w:t xml:space="preserve"> </w:t>
      </w:r>
      <w:r>
        <w:t xml:space="preserve">Dumack et al. (2017)</w:t>
      </w:r>
      <w:r>
        <w:t xml:space="preserve">.</w:t>
      </w:r>
      <w:r>
        <w:br w:type="textWrapping"/>
      </w:r>
      <w:r>
        <w:t xml:space="preserve"> </w:t>
      </w:r>
      <w:r>
        <w:br w:type="textWrapping"/>
      </w:r>
      <w:r>
        <w:t xml:space="preserve">In bacteria-roots, we identified a number of different ASVs most positively impacted (increase presence of the ASV) by fertilization. For example, we identified…</w:t>
      </w:r>
      <w:r>
        <w:t xml:space="preserve"> </w:t>
      </w:r>
      <w:r>
        <w:t xml:space="preserve"> </w:t>
      </w:r>
      <w:r>
        <w:br w:type="textWrapping"/>
      </w:r>
      <w:r>
        <w:t xml:space="preserve"> </w:t>
      </w:r>
      <w:r>
        <w:br w:type="textWrapping"/>
      </w:r>
      <w:r>
        <w:drawing>
          <wp:inline>
            <wp:extent cx="3810000" cy="2540000"/>
            <wp:effectExtent b="0" l="0" r="0" t="0"/>
            <wp:docPr descr="Figure 7" title=""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3"/>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Heading1"/>
      </w:pPr>
      <w:bookmarkStart w:id="34" w:name="discussion"/>
      <w:bookmarkEnd w:id="34"/>
      <w:r>
        <w:t xml:space="preserve">DISCUSSION</w:t>
      </w:r>
    </w:p>
    <w:p>
      <w:pPr>
        <w:pStyle w:val="FirstParagraph"/>
      </w:pPr>
      <w:r>
        <w:t xml:space="preserve">• Overall increases in productivity in both species (but mention that tomato were fertilized with hen manure as well).</w:t>
      </w:r>
      <w:r>
        <w:br w:type="textWrapping"/>
      </w:r>
      <w:r>
        <w:t xml:space="preserve">• A few words about the goal of the sequencing: very broad approach looking at lots of factors (fertilization, species, planting root, soil, fungal, bacterial).</w:t>
      </w:r>
      <w:r>
        <w:br w:type="textWrapping"/>
      </w:r>
      <w:r>
        <w:t xml:space="preserve">• A few words about the</w:t>
      </w:r>
      <w:r>
        <w:t xml:space="preserve"> </w:t>
      </w:r>
      <w:r>
        <w:rPr>
          <w:i/>
        </w:rPr>
        <w:t xml:space="preserve">dada2</w:t>
      </w:r>
      <w:r>
        <w:t xml:space="preserve"> </w:t>
      </w:r>
      <w:r>
        <w:t xml:space="preserve">approach and its advantages (it’s reproducible, open &amp; R based. It identifies unique (non-clustered) ASVs which can be compared among species) &amp; disadvantages (essentially, the main disadvantage is that it identifies non-clustered ASVs, which means that most ASVs are unique, and not found anywhere else, which makes it hard to compare: see</w:t>
      </w:r>
      <w:r>
        <w:t xml:space="preserve"> </w:t>
      </w:r>
      <w:r>
        <w:rPr>
          <w:i/>
        </w:rPr>
        <w:t xml:space="preserve">Sequencing</w:t>
      </w:r>
      <w:r>
        <w:t xml:space="preserve"> </w:t>
      </w:r>
      <w:r>
        <w:t xml:space="preserve">paragraph in results). Also mention that most ASVs are unique AND very rare, such that when we remove the rare ones (found in &lt;10% of the samples), we discard ~90% of ASV, but keep &gt;95% of reads. So this is still a very valuable approach.</w:t>
      </w:r>
      <w:r>
        <w:t xml:space="preserve"> </w:t>
      </w:r>
      <w:r>
        <w:t xml:space="preserve">• Also, talk about advantages / disadvantages of the RDP bayesian classifier approach to taxonomy rather than a BLAST approach (a BLAST approach will always give you a result even if this result is false, an RDP will only give you a taxonomy (from Kindgom to species) if there is enough power/confidence in it). Also any taxonomy classification largely depends on the database you have.</w:t>
      </w:r>
      <w:r>
        <w:br w:type="textWrapping"/>
      </w:r>
      <w:r>
        <w:t xml:space="preserve">• Talk about effect of treatment on root + soil on overall (alpha) diversity.</w:t>
      </w:r>
      <w:r>
        <w:t xml:space="preserve"> </w:t>
      </w:r>
      <w:r>
        <w:t xml:space="preserve">• Talk about effect of treatment on root + soil on differences in species composition among sites (beta diversity)</w:t>
      </w:r>
      <w:r>
        <w:t xml:space="preserve"> </w:t>
      </w:r>
      <w:r>
        <w:t xml:space="preserve">• Talk about the fact in the roots, we most likely sequenced the plant itself, rather than the bacteria.</w:t>
      </w:r>
      <w:r>
        <w:br w:type="textWrapping"/>
      </w:r>
      <w:r>
        <w:t xml:space="preserve">• Discuss some of the candidate ASVs identified based on the ordinations and Figure 7.</w:t>
      </w:r>
      <w:r>
        <w:br w:type="textWrapping"/>
      </w:r>
      <w:r>
        <w:t xml:space="preserve">• Follow-up work: ?</w:t>
      </w:r>
    </w:p>
    <w:p>
      <w:pPr>
        <w:pStyle w:val="Heading1"/>
      </w:pPr>
      <w:bookmarkStart w:id="35" w:name="acknowledgments"/>
      <w:bookmarkEnd w:id="35"/>
      <w:r>
        <w:t xml:space="preserve">ACKNOWLEDGMENTS</w:t>
      </w:r>
    </w:p>
    <w:p>
      <w:pPr>
        <w:pStyle w:val="FirstParagraph"/>
      </w:pPr>
      <w:r>
        <w:t xml:space="preserve">We thank Mengxuan Kong for technical work measuring productivity.</w:t>
      </w:r>
    </w:p>
    <w:p>
      <w:pPr>
        <w:pStyle w:val="Heading1"/>
      </w:pPr>
      <w:bookmarkStart w:id="36" w:name="references"/>
      <w:bookmarkEnd w:id="36"/>
      <w:r>
        <w:t xml:space="preserve">REFERENCES</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7">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8">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Team RC., others. 2018. R: A language and environment for statistical computing.</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a89e74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30" Target="media/rId30.pdf" /><Relationship Type="http://schemas.openxmlformats.org/officeDocument/2006/relationships/image" Id="rId29" Target="media/rId29.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33" Target="media/rId33.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7" Target="https://doi.org/10.5281/zenodo.1172783" TargetMode="External" /><Relationship Type="http://schemas.openxmlformats.org/officeDocument/2006/relationships/hyperlink" Id="rId38"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7" Target="https://doi.org/10.5281/zenodo.1172783" TargetMode="External" /><Relationship Type="http://schemas.openxmlformats.org/officeDocument/2006/relationships/hyperlink" Id="rId38"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2018-11-06T17:51:11Z</dcterms:created>
  <dcterms:modified xsi:type="dcterms:W3CDTF">2018-11-06T17:51:11Z</dcterms:modified>
</cp:coreProperties>
</file>